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6F515" w14:textId="77777777" w:rsidR="00E1029A" w:rsidRPr="00070A20" w:rsidRDefault="00E1029A" w:rsidP="00E1029A">
      <w:pPr>
        <w:ind w:firstLine="720"/>
        <w:jc w:val="center"/>
        <w:rPr>
          <w:rFonts w:ascii="Arial" w:hAnsi="Arial" w:cs="Arial"/>
          <w:b/>
          <w:bCs/>
          <w:sz w:val="26"/>
          <w:szCs w:val="26"/>
        </w:rPr>
      </w:pPr>
      <w:r w:rsidRPr="00070A20">
        <w:rPr>
          <w:rFonts w:ascii="Arial" w:hAnsi="Arial" w:cs="Arial"/>
          <w:b/>
          <w:bCs/>
          <w:sz w:val="26"/>
          <w:szCs w:val="26"/>
        </w:rPr>
        <w:t>ЖЕР ҚОЙНАУЫН ПАЙДАЛАНУШЫЛАРҒА САЛЫҚ САЛУ</w:t>
      </w:r>
    </w:p>
    <w:p w14:paraId="04C514A1" w14:textId="07EE7857" w:rsidR="00E1029A" w:rsidRPr="00070A20" w:rsidRDefault="00A45339" w:rsidP="00E1029A">
      <w:pPr>
        <w:ind w:firstLine="720"/>
        <w:jc w:val="center"/>
        <w:rPr>
          <w:rFonts w:ascii="Arial" w:hAnsi="Arial" w:cs="Arial"/>
          <w:b/>
          <w:bCs/>
          <w:sz w:val="26"/>
          <w:szCs w:val="26"/>
        </w:rPr>
      </w:pPr>
      <w:r>
        <w:rPr>
          <w:rFonts w:ascii="Arial" w:hAnsi="Arial" w:cs="Arial"/>
          <w:b/>
          <w:bCs/>
          <w:sz w:val="26"/>
          <w:szCs w:val="26"/>
          <w:lang w:val="kk-KZ"/>
        </w:rPr>
        <w:t>МӘСЕЛЕЛЕРІ</w:t>
      </w:r>
      <w:r w:rsidR="00E1029A" w:rsidRPr="00070A20">
        <w:rPr>
          <w:rFonts w:ascii="Arial" w:hAnsi="Arial" w:cs="Arial"/>
          <w:b/>
          <w:bCs/>
          <w:sz w:val="26"/>
          <w:szCs w:val="26"/>
        </w:rPr>
        <w:t xml:space="preserve"> БОЙЫНША АНЫҚТАМА</w:t>
      </w:r>
    </w:p>
    <w:p w14:paraId="4EA013AE" w14:textId="77777777" w:rsidR="00A47D25" w:rsidRPr="00070A20" w:rsidRDefault="00A47D25" w:rsidP="00A47D25">
      <w:pPr>
        <w:ind w:firstLine="720"/>
        <w:rPr>
          <w:rFonts w:ascii="Arial" w:hAnsi="Arial" w:cs="Arial"/>
          <w:b/>
          <w:bCs/>
          <w:sz w:val="24"/>
          <w:szCs w:val="24"/>
        </w:rPr>
      </w:pPr>
    </w:p>
    <w:p w14:paraId="6E1FE4E8" w14:textId="77777777" w:rsidR="00A47D25" w:rsidRPr="00070A20" w:rsidRDefault="00A47D25" w:rsidP="00A47D25">
      <w:pPr>
        <w:ind w:firstLine="720"/>
        <w:rPr>
          <w:rFonts w:ascii="Arial" w:hAnsi="Arial" w:cs="Arial"/>
          <w:b/>
          <w:bCs/>
          <w:sz w:val="24"/>
          <w:szCs w:val="24"/>
        </w:rPr>
      </w:pPr>
    </w:p>
    <w:p w14:paraId="589D8B4C" w14:textId="77777777" w:rsidR="00A47D25" w:rsidRPr="00070A20" w:rsidRDefault="00A47D25" w:rsidP="00E1029A">
      <w:pPr>
        <w:rPr>
          <w:rFonts w:ascii="Arial" w:hAnsi="Arial" w:cs="Arial"/>
          <w:b/>
          <w:bCs/>
          <w:i/>
          <w:iCs/>
          <w:sz w:val="24"/>
          <w:szCs w:val="24"/>
        </w:rPr>
      </w:pPr>
      <w:r w:rsidRPr="00070A20">
        <w:rPr>
          <w:rFonts w:ascii="Arial" w:hAnsi="Arial" w:cs="Arial"/>
          <w:b/>
          <w:bCs/>
          <w:i/>
          <w:iCs/>
          <w:sz w:val="24"/>
          <w:szCs w:val="24"/>
        </w:rPr>
        <w:t>КЕН ОРЫНДАРЫН ИГЕРУ САЛДАРЫН ЖОЮҒА АРНАЛҒАН ШЫҒЫСТАР ЖӘНЕ ТАРАТУ ҚОРЛАРЫНА АУДАРЫМДАР СОМАЛАРЫ БОЙЫНША ШЕГЕРІМДЕР</w:t>
      </w:r>
    </w:p>
    <w:p w14:paraId="2E7652DA" w14:textId="2EF5B58E" w:rsidR="00ED7768" w:rsidRPr="00070A20" w:rsidRDefault="00A47D25" w:rsidP="00A47D25">
      <w:pPr>
        <w:ind w:firstLine="720"/>
        <w:rPr>
          <w:rFonts w:ascii="Arial" w:hAnsi="Arial" w:cs="Arial"/>
          <w:sz w:val="24"/>
          <w:szCs w:val="24"/>
          <w:lang w:val="kk-KZ"/>
        </w:rPr>
      </w:pPr>
      <w:r w:rsidRPr="00070A20">
        <w:rPr>
          <w:rFonts w:ascii="Arial" w:hAnsi="Arial" w:cs="Arial"/>
          <w:sz w:val="24"/>
          <w:szCs w:val="24"/>
          <w:lang w:val="kk-KZ"/>
        </w:rPr>
        <w:t>Салық кодексі жобасының 294-бабының 1-тармағы жер қойнауын пайдаланушы кез келген екінші деңгейдегі банктегі арнайы депозиттік шотқа нақты жүргізілген аударымдар мөлшерінде тарату қорына аударымдар сомасын жылдық жиынтық табыстан шегерімге жатқызуды көздейді.</w:t>
      </w:r>
    </w:p>
    <w:p w14:paraId="3739DEE9" w14:textId="36100E23" w:rsidR="00E1029A" w:rsidRPr="00070A20" w:rsidRDefault="00E1029A" w:rsidP="00E1029A">
      <w:pPr>
        <w:ind w:firstLine="720"/>
        <w:rPr>
          <w:rFonts w:ascii="Arial" w:hAnsi="Arial" w:cs="Arial"/>
          <w:sz w:val="24"/>
          <w:szCs w:val="24"/>
          <w:lang w:val="kk-KZ"/>
        </w:rPr>
      </w:pPr>
      <w:r w:rsidRPr="00070A20">
        <w:rPr>
          <w:rFonts w:ascii="Arial" w:hAnsi="Arial" w:cs="Arial"/>
          <w:sz w:val="24"/>
          <w:szCs w:val="24"/>
          <w:lang w:val="kk-KZ"/>
        </w:rPr>
        <w:t xml:space="preserve">Алайда, Жер қойнауы туралы кодексте оны қолданысқа енгізген сәттен (2018 жылғы шілде) бастап,  жер қойнауын пайдаланушының </w:t>
      </w:r>
      <w:r w:rsidRPr="00070A20">
        <w:rPr>
          <w:rFonts w:ascii="Arial" w:hAnsi="Arial" w:cs="Arial"/>
          <w:sz w:val="24"/>
          <w:szCs w:val="24"/>
          <w:u w:val="single"/>
          <w:lang w:val="kk-KZ"/>
        </w:rPr>
        <w:t>тарату қорын қалыптастыруы көзделмеген</w:t>
      </w:r>
      <w:r w:rsidRPr="00070A20">
        <w:rPr>
          <w:rFonts w:ascii="Arial" w:hAnsi="Arial" w:cs="Arial"/>
          <w:sz w:val="24"/>
          <w:szCs w:val="24"/>
          <w:lang w:val="kk-KZ"/>
        </w:rPr>
        <w:t xml:space="preserve">, өйткені бұл тетік </w:t>
      </w:r>
      <w:r w:rsidRPr="00070A20">
        <w:rPr>
          <w:rFonts w:ascii="Arial" w:hAnsi="Arial" w:cs="Arial"/>
          <w:sz w:val="24"/>
          <w:szCs w:val="24"/>
          <w:u w:val="single"/>
          <w:lang w:val="kk-KZ"/>
        </w:rPr>
        <w:t>банктік салым кепілімен</w:t>
      </w:r>
      <w:r w:rsidRPr="00070A20">
        <w:rPr>
          <w:rFonts w:ascii="Arial" w:hAnsi="Arial" w:cs="Arial"/>
          <w:sz w:val="24"/>
          <w:szCs w:val="24"/>
          <w:lang w:val="kk-KZ"/>
        </w:rPr>
        <w:t xml:space="preserve"> ауыстырылды.</w:t>
      </w:r>
    </w:p>
    <w:p w14:paraId="42296BD5" w14:textId="54A11672" w:rsidR="00E1029A" w:rsidRPr="00070A20" w:rsidRDefault="00E1029A" w:rsidP="00E1029A">
      <w:pPr>
        <w:ind w:firstLine="720"/>
        <w:rPr>
          <w:rFonts w:ascii="Arial" w:hAnsi="Arial" w:cs="Arial"/>
          <w:sz w:val="24"/>
          <w:szCs w:val="24"/>
          <w:lang w:val="kk-KZ"/>
        </w:rPr>
      </w:pPr>
      <w:r w:rsidRPr="00070A20">
        <w:rPr>
          <w:rFonts w:ascii="Arial" w:hAnsi="Arial" w:cs="Arial"/>
          <w:sz w:val="24"/>
          <w:szCs w:val="24"/>
          <w:lang w:val="kk-KZ"/>
        </w:rPr>
        <w:t>Екі жағдайда да жер қойнауын пайдаланушы ақшаны банк шотына аударуға және оны жер қойнауын пайдалану салдарын жою үшін жинақтауға міндетті. Тарату қорынан айырмашылығы, банктік кепілінің салымына аударылатын сомалар шегерімге жатқызылмайды, бұл қаржылық жүктемені арттырады және жер қойнауын пайдаланушыларды өзара тең емес жағдайларға қояды.</w:t>
      </w:r>
    </w:p>
    <w:p w14:paraId="3ECE2CCE" w14:textId="19FC408B" w:rsidR="00B47A7B" w:rsidRPr="00070A20" w:rsidRDefault="00E1029A" w:rsidP="00BD4501">
      <w:pPr>
        <w:ind w:firstLine="720"/>
        <w:rPr>
          <w:rFonts w:ascii="Arial" w:hAnsi="Arial" w:cs="Arial"/>
          <w:sz w:val="24"/>
          <w:szCs w:val="24"/>
          <w:highlight w:val="yellow"/>
          <w:lang w:val="kk-KZ"/>
        </w:rPr>
      </w:pPr>
      <w:r w:rsidRPr="00070A20">
        <w:rPr>
          <w:rFonts w:ascii="Arial" w:hAnsi="Arial" w:cs="Arial"/>
          <w:sz w:val="24"/>
          <w:szCs w:val="24"/>
          <w:lang w:val="kk-KZ"/>
        </w:rPr>
        <w:t>Жоғарыда айтылғандарды ескере отырып, Салық кодексінің жобасын Жер қойнауы туралы кодекске сәйкес келтіру және тарату қорына ұқсас банктік салым кепілінің сомасын шегерімге жатқызу қажет деп санаймыз.</w:t>
      </w:r>
    </w:p>
    <w:p w14:paraId="544DBAE5" w14:textId="77777777" w:rsidR="00BD4501" w:rsidRPr="00070A20" w:rsidRDefault="00BD4501" w:rsidP="00BD4501">
      <w:pPr>
        <w:ind w:firstLine="720"/>
        <w:rPr>
          <w:rFonts w:ascii="Arial" w:hAnsi="Arial" w:cs="Arial"/>
          <w:sz w:val="24"/>
          <w:szCs w:val="24"/>
          <w:highlight w:val="yellow"/>
          <w:lang w:val="kk-KZ"/>
        </w:rPr>
      </w:pPr>
    </w:p>
    <w:p w14:paraId="5405B7EC" w14:textId="77777777" w:rsidR="00BD4501" w:rsidRPr="00070A20" w:rsidRDefault="00BD4501" w:rsidP="00BD4501">
      <w:pPr>
        <w:ind w:firstLine="720"/>
        <w:rPr>
          <w:rFonts w:ascii="Arial" w:hAnsi="Arial" w:cs="Arial"/>
          <w:sz w:val="24"/>
          <w:szCs w:val="24"/>
          <w:highlight w:val="yellow"/>
          <w:lang w:val="kk-KZ"/>
        </w:rPr>
      </w:pPr>
    </w:p>
    <w:p w14:paraId="126A4CE6" w14:textId="77777777" w:rsidR="00E1029A" w:rsidRPr="00070A20" w:rsidRDefault="00E1029A" w:rsidP="00E1029A">
      <w:pPr>
        <w:rPr>
          <w:rFonts w:ascii="Arial" w:hAnsi="Arial" w:cs="Arial"/>
          <w:b/>
          <w:bCs/>
          <w:i/>
          <w:iCs/>
          <w:sz w:val="24"/>
          <w:szCs w:val="24"/>
          <w:lang w:val="kk-KZ"/>
        </w:rPr>
      </w:pPr>
      <w:r w:rsidRPr="00070A20">
        <w:rPr>
          <w:rFonts w:ascii="Arial" w:hAnsi="Arial" w:cs="Arial"/>
          <w:b/>
          <w:bCs/>
          <w:i/>
          <w:iCs/>
          <w:sz w:val="24"/>
          <w:szCs w:val="24"/>
          <w:lang w:val="kk-KZ"/>
        </w:rPr>
        <w:t>ЭКСПОРТТАЛАТЫН ШИКІ МҰНАЙ КӨЛЕМІНЕ САЛЫҚ САЛУ</w:t>
      </w:r>
    </w:p>
    <w:p w14:paraId="54774435" w14:textId="77777777" w:rsidR="00BD4501" w:rsidRPr="00070A20" w:rsidRDefault="00E1029A" w:rsidP="00BD4501">
      <w:pPr>
        <w:ind w:firstLine="720"/>
        <w:rPr>
          <w:rFonts w:ascii="Arial" w:hAnsi="Arial" w:cs="Arial"/>
          <w:sz w:val="24"/>
          <w:szCs w:val="24"/>
          <w:lang w:val="kk-KZ"/>
        </w:rPr>
      </w:pPr>
      <w:r w:rsidRPr="00070A20">
        <w:rPr>
          <w:rFonts w:ascii="Arial" w:hAnsi="Arial" w:cs="Arial"/>
          <w:sz w:val="24"/>
          <w:szCs w:val="24"/>
          <w:lang w:val="kk-KZ"/>
        </w:rPr>
        <w:t xml:space="preserve">Қолданыстағы Салық кодексі шикі мұнайдың экспортталатын көлеміне салықтарды есептеу кезінде Brent және Urals анықтамалық баға белгілеулерін қолдануды көздейді. 2022 жылғы сыртқы саяси жағдай аталған сорттар арасындағы баға айырмашылығын тудырды, ол барреліне 35 долларға жетті, алайда салық заңнамасында </w:t>
      </w:r>
      <w:r w:rsidR="00BD4501" w:rsidRPr="00070A20">
        <w:rPr>
          <w:rFonts w:ascii="Arial" w:hAnsi="Arial" w:cs="Arial"/>
          <w:sz w:val="24"/>
          <w:szCs w:val="24"/>
          <w:lang w:val="kk-KZ"/>
        </w:rPr>
        <w:t xml:space="preserve">мұндай </w:t>
      </w:r>
      <w:r w:rsidRPr="00070A20">
        <w:rPr>
          <w:rFonts w:ascii="Arial" w:hAnsi="Arial" w:cs="Arial"/>
          <w:sz w:val="24"/>
          <w:szCs w:val="24"/>
          <w:lang w:val="kk-KZ"/>
        </w:rPr>
        <w:t>оқиғалар ескерілмеді, осыған байланысты салықтар жоғары бағамен, ал мұнай сату төмен бағамен төленді.</w:t>
      </w:r>
    </w:p>
    <w:p w14:paraId="54842C22" w14:textId="60526847" w:rsidR="00E1029A"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Нарықтың жаңа жағдайларына бейімделу және тұтастай алғанда халықаралық практикамен жақындасу мақсатында Салық кодексі жобасының 763-бабында анықтамалық баға белгілеулер негізінде емес, трансферттік баға белгілеу туралы заңнамаға сәйкес айқындалған шикі мұнайды өткізудің орташа өлшенген бағасын негізге ала отырып, салық базасын айқындау көзделеді. Алайда, бүгінде Үкімет әкімшілендірудің күрделенуіне және бюджетті жоғалту қаупіне байланысты жоғарыда аталған тәсілді Салық кодексінің жобасынан алып тастауға ниетті.</w:t>
      </w:r>
    </w:p>
    <w:p w14:paraId="4734495D" w14:textId="54F447E1"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 xml:space="preserve">Бұл тәсіл, шын мәнінде, қолданыстағы тәсілмен салыстырғанда анағұрлым күрделі, бірақ бұл </w:t>
      </w:r>
      <w:r w:rsidRPr="00070A20">
        <w:rPr>
          <w:rFonts w:ascii="Arial" w:hAnsi="Arial" w:cs="Arial"/>
          <w:sz w:val="24"/>
          <w:szCs w:val="24"/>
          <w:u w:val="single"/>
          <w:lang w:val="kk-KZ"/>
        </w:rPr>
        <w:t>жаңа емес</w:t>
      </w:r>
      <w:r w:rsidRPr="00070A20">
        <w:rPr>
          <w:rFonts w:ascii="Arial" w:hAnsi="Arial" w:cs="Arial"/>
          <w:sz w:val="24"/>
          <w:szCs w:val="24"/>
          <w:lang w:val="kk-KZ"/>
        </w:rPr>
        <w:t>, өйткені ол КТС есептеу кезінде қолданылады, яғни мемлекеттік кірістер органдарында тәжірибе бар. Бұл ретте трансферттік баға белгілеу туралы заңнама мемлекеттік кіріс органдарына бақылауды жүзеге асыру үшін жаңа өкілеттіктер бере отырып, үнемі жетілдіріліп отырады.</w:t>
      </w:r>
    </w:p>
    <w:p w14:paraId="4A0E19B0" w14:textId="3BEF5A04"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Шикі мұнай бақылау тұрғысынан ең ашық және қарапайым тауар болып табылады, өйткені барлық қажетті ақпарат ақпарат көздерінде жарияланады. Осыған байланысты, жаңа Салық кодексінің жобасында салық базасын анықтаудың жаңа тәсілін қолдаймыз.</w:t>
      </w:r>
    </w:p>
    <w:p w14:paraId="4ABDC4D2" w14:textId="77777777" w:rsidR="00BD4501" w:rsidRPr="00070A20" w:rsidRDefault="00BD4501" w:rsidP="00BD4501">
      <w:pPr>
        <w:ind w:firstLine="720"/>
        <w:rPr>
          <w:rFonts w:ascii="Arial" w:hAnsi="Arial" w:cs="Arial"/>
          <w:sz w:val="24"/>
          <w:szCs w:val="24"/>
          <w:lang w:val="kk-KZ"/>
        </w:rPr>
      </w:pPr>
    </w:p>
    <w:p w14:paraId="11F67E14" w14:textId="77777777" w:rsidR="00BD4501" w:rsidRPr="00070A20" w:rsidRDefault="00BD4501" w:rsidP="00BD4501">
      <w:pPr>
        <w:ind w:firstLine="720"/>
        <w:rPr>
          <w:rFonts w:ascii="Arial" w:hAnsi="Arial" w:cs="Arial"/>
          <w:sz w:val="24"/>
          <w:szCs w:val="24"/>
          <w:lang w:val="kk-KZ"/>
        </w:rPr>
      </w:pPr>
    </w:p>
    <w:p w14:paraId="76585A9F" w14:textId="77777777" w:rsidR="00BD4501" w:rsidRPr="00070A20" w:rsidRDefault="00BD4501" w:rsidP="00BD4501">
      <w:pPr>
        <w:rPr>
          <w:rFonts w:ascii="Arial" w:hAnsi="Arial" w:cs="Arial"/>
          <w:b/>
          <w:bCs/>
          <w:i/>
          <w:iCs/>
          <w:sz w:val="24"/>
          <w:szCs w:val="24"/>
          <w:lang w:val="kk-KZ"/>
        </w:rPr>
      </w:pPr>
      <w:r w:rsidRPr="00070A20">
        <w:rPr>
          <w:rFonts w:ascii="Arial" w:hAnsi="Arial" w:cs="Arial"/>
          <w:b/>
          <w:bCs/>
          <w:i/>
          <w:iCs/>
          <w:sz w:val="24"/>
          <w:szCs w:val="24"/>
          <w:lang w:val="kk-KZ"/>
        </w:rPr>
        <w:t>ЕАЭО МҰНАЙ ЖӘНЕ МҰНАЙ ӨНІМДЕРІНІҢ ОРТАҚ НАРЫҚТАРЫ ЖАҒДАЙЫНДА САЛЫҚ САЛУ</w:t>
      </w:r>
    </w:p>
    <w:p w14:paraId="6385CD7F" w14:textId="36997E8C"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 xml:space="preserve">ЕАЭО туралы шарт шеңберінде қабылданған міндеттемелерге сәйкес мүше мемлекеттер мұнай мен мұнай өнімдерінің ортақ нарықтарын қалыптастыру туралы </w:t>
      </w:r>
      <w:r w:rsidRPr="00070A20">
        <w:rPr>
          <w:rFonts w:ascii="Arial" w:hAnsi="Arial" w:cs="Arial"/>
          <w:sz w:val="24"/>
          <w:szCs w:val="24"/>
          <w:lang w:val="kk-KZ"/>
        </w:rPr>
        <w:lastRenderedPageBreak/>
        <w:t>уағдаласты. Ортақ нарықтарды қалыптастыру кезінде ЕАЭО елдері басшылыққа алатын негізгі қағидаттардың бірі өзара саудада сандық шектеулер мен әкетілетін кедендік баждарды (</w:t>
      </w:r>
      <w:r w:rsidRPr="00070A20">
        <w:rPr>
          <w:rFonts w:ascii="Arial" w:hAnsi="Arial" w:cs="Arial"/>
          <w:sz w:val="24"/>
          <w:szCs w:val="24"/>
          <w:u w:val="single"/>
          <w:lang w:val="kk-KZ"/>
        </w:rPr>
        <w:t>баламалы мәні бар</w:t>
      </w:r>
      <w:r w:rsidRPr="00070A20">
        <w:rPr>
          <w:rFonts w:ascii="Arial" w:hAnsi="Arial" w:cs="Arial"/>
          <w:sz w:val="24"/>
          <w:szCs w:val="24"/>
          <w:lang w:val="kk-KZ"/>
        </w:rPr>
        <w:t xml:space="preserve"> өзге де баждарды, </w:t>
      </w:r>
      <w:r w:rsidRPr="00070A20">
        <w:rPr>
          <w:rFonts w:ascii="Arial" w:hAnsi="Arial" w:cs="Arial"/>
          <w:sz w:val="24"/>
          <w:szCs w:val="24"/>
          <w:u w:val="single"/>
          <w:lang w:val="kk-KZ"/>
        </w:rPr>
        <w:t>салықтар мен алымдарды</w:t>
      </w:r>
      <w:r w:rsidRPr="00070A20">
        <w:rPr>
          <w:rFonts w:ascii="Arial" w:hAnsi="Arial" w:cs="Arial"/>
          <w:sz w:val="24"/>
          <w:szCs w:val="24"/>
          <w:lang w:val="kk-KZ"/>
        </w:rPr>
        <w:t>) қолданбау болып табылады.</w:t>
      </w:r>
    </w:p>
    <w:p w14:paraId="5D74885E" w14:textId="54F0E1A9"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Осы мезгілде мұнайға және мұнай өнімдеріне әкетілетін кедендік баждарды одақтың кедендік аумағынан тыс әкету кезінде төлеу тәртібі жекелеген, оның ішінде мүше мемлекеттердің екіжақты келісімдерімен айқындалатыны көзделген.</w:t>
      </w:r>
    </w:p>
    <w:p w14:paraId="5AA05A62" w14:textId="4B77EF08"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 xml:space="preserve">Бүгінгі таңда шикі мұнайды ҚР аумағынан </w:t>
      </w:r>
      <w:r w:rsidR="00070A20" w:rsidRPr="00070A20">
        <w:rPr>
          <w:rFonts w:ascii="Arial" w:hAnsi="Arial" w:cs="Arial"/>
          <w:sz w:val="24"/>
          <w:szCs w:val="24"/>
          <w:lang w:val="kk-KZ"/>
        </w:rPr>
        <w:t>басқа ЕА</w:t>
      </w:r>
      <w:r w:rsidRPr="00070A20">
        <w:rPr>
          <w:rFonts w:ascii="Arial" w:hAnsi="Arial" w:cs="Arial"/>
          <w:sz w:val="24"/>
          <w:szCs w:val="24"/>
          <w:lang w:val="kk-KZ"/>
        </w:rPr>
        <w:t>Э</w:t>
      </w:r>
      <w:r w:rsidR="00070A20" w:rsidRPr="00070A20">
        <w:rPr>
          <w:rFonts w:ascii="Arial" w:hAnsi="Arial" w:cs="Arial"/>
          <w:sz w:val="24"/>
          <w:szCs w:val="24"/>
          <w:lang w:val="kk-KZ"/>
        </w:rPr>
        <w:t>О</w:t>
      </w:r>
      <w:r w:rsidRPr="00070A20">
        <w:rPr>
          <w:rFonts w:ascii="Arial" w:hAnsi="Arial" w:cs="Arial"/>
          <w:sz w:val="24"/>
          <w:szCs w:val="24"/>
          <w:lang w:val="kk-KZ"/>
        </w:rPr>
        <w:t xml:space="preserve"> мүше мемлекеттің аумағына әкетуге экспортқа рента салығы салынады. Сонымен қатар, басқа мүше мемлекеттерде мұндай салық жоқ. Рента салығын кедендік баждың баламасы деп тану ықтималдығы өте жоғары. Сонымен қатар, Ресей Федерациясы мен Беларусь Республикасында шикі мұнайға кедендік әкету баждары нөлге тең.</w:t>
      </w:r>
    </w:p>
    <w:p w14:paraId="7529E6F1" w14:textId="2327EE5F" w:rsidR="00BD4501" w:rsidRPr="00070A20" w:rsidRDefault="00BD4501" w:rsidP="00BD4501">
      <w:pPr>
        <w:ind w:firstLine="720"/>
        <w:rPr>
          <w:rFonts w:ascii="Arial" w:hAnsi="Arial" w:cs="Arial"/>
          <w:sz w:val="24"/>
          <w:szCs w:val="24"/>
          <w:lang w:val="kk-KZ"/>
        </w:rPr>
      </w:pPr>
      <w:r w:rsidRPr="00070A20">
        <w:rPr>
          <w:rFonts w:ascii="Arial" w:hAnsi="Arial" w:cs="Arial"/>
          <w:sz w:val="24"/>
          <w:szCs w:val="24"/>
          <w:lang w:val="kk-KZ"/>
        </w:rPr>
        <w:t xml:space="preserve">Осылайша, Қазақстан Республикасының салық жүйесі бүгінде одақтас мемлекеттермен тең емес жағдайда тұр, алайда </w:t>
      </w:r>
      <w:r w:rsidR="00070A20" w:rsidRPr="00070A20">
        <w:rPr>
          <w:rFonts w:ascii="Arial" w:hAnsi="Arial" w:cs="Arial"/>
          <w:sz w:val="24"/>
          <w:szCs w:val="24"/>
          <w:lang w:val="kk-KZ"/>
        </w:rPr>
        <w:t>С</w:t>
      </w:r>
      <w:r w:rsidRPr="00070A20">
        <w:rPr>
          <w:rFonts w:ascii="Arial" w:hAnsi="Arial" w:cs="Arial"/>
          <w:sz w:val="24"/>
          <w:szCs w:val="24"/>
          <w:lang w:val="kk-KZ"/>
        </w:rPr>
        <w:t>алық кодексінің жобасы осы бөлімде ешқандай өзгерістер көздемейді. Жоғарыда айтылғандарға байланысты жобада жоспарланған интеграциялық процестерді ескерген жөн.</w:t>
      </w:r>
    </w:p>
    <w:p w14:paraId="2B1DA208" w14:textId="77777777" w:rsidR="00BD4501" w:rsidRPr="00070A20" w:rsidRDefault="00BD4501" w:rsidP="00BD4501">
      <w:pPr>
        <w:ind w:firstLine="720"/>
        <w:rPr>
          <w:rFonts w:ascii="Arial" w:hAnsi="Arial" w:cs="Arial"/>
          <w:sz w:val="24"/>
          <w:szCs w:val="24"/>
          <w:lang w:val="kk-KZ"/>
        </w:rPr>
      </w:pPr>
    </w:p>
    <w:p w14:paraId="17D032A5" w14:textId="77777777" w:rsidR="00B47A7B" w:rsidRPr="00070A20" w:rsidRDefault="00B47A7B" w:rsidP="00BD3AE8">
      <w:pPr>
        <w:ind w:firstLine="720"/>
        <w:rPr>
          <w:rFonts w:ascii="Arial" w:hAnsi="Arial" w:cs="Arial"/>
          <w:sz w:val="24"/>
          <w:szCs w:val="24"/>
          <w:lang w:val="kk-KZ"/>
        </w:rPr>
      </w:pPr>
    </w:p>
    <w:p w14:paraId="29196805" w14:textId="77777777" w:rsidR="00070A20" w:rsidRPr="00070A20" w:rsidRDefault="00070A20" w:rsidP="00070A20">
      <w:pPr>
        <w:rPr>
          <w:rFonts w:ascii="Arial" w:hAnsi="Arial" w:cs="Arial"/>
          <w:b/>
          <w:bCs/>
          <w:i/>
          <w:iCs/>
          <w:sz w:val="24"/>
          <w:szCs w:val="24"/>
          <w:lang w:val="kk-KZ"/>
        </w:rPr>
      </w:pPr>
      <w:r w:rsidRPr="00070A20">
        <w:rPr>
          <w:rFonts w:ascii="Arial" w:hAnsi="Arial" w:cs="Arial"/>
          <w:b/>
          <w:bCs/>
          <w:i/>
          <w:iCs/>
          <w:sz w:val="24"/>
          <w:szCs w:val="24"/>
          <w:lang w:val="kk-KZ"/>
        </w:rPr>
        <w:t>ҚАТТЫ ПАЙДАЛЫ ҚАЗБАЛАРДЫ ӨНДІРУМЕН АЙНАЛЫСАТЫН ЖЕР ҚОЙНАУЫН ПАЙДАЛАНУШЫЛАРҒА САЛЫҚ САЛУ</w:t>
      </w:r>
    </w:p>
    <w:p w14:paraId="4EB85032" w14:textId="4EA81FD2"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Салық кодексінің жобасына келесі сұрақтарды көздейтін ережелер енгізілген:</w:t>
      </w:r>
    </w:p>
    <w:p w14:paraId="0FE979D7" w14:textId="63133725"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 техногендік минералдық түзілімдердің (ТМҚ) құрамынан алынатын металдарға қатысты ПҚӨС төмендету;</w:t>
      </w:r>
    </w:p>
    <w:p w14:paraId="0AF3E142" w14:textId="318078C8"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 геологиялық барлау жұмыстарын жүргізуге арналған шығындарды шегерімге жатқызу мүмкіндігі;</w:t>
      </w:r>
    </w:p>
    <w:p w14:paraId="491564A3" w14:textId="7F1E32BB"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- 5 жылға дейінгі мерзімге ПҚӨС төлеуден босату мүмкіндігін беру жолымен жұмыс істеп тұрған құрамында аз және капиталды көп қажет ететін кен орындарын (ішкі рентабельділік нормасы 15%-дан төмен) игеруді ынталандыру.</w:t>
      </w:r>
    </w:p>
    <w:p w14:paraId="20DDA973" w14:textId="789BF387"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Бұл нормалар минералды-шикізат базасының сапасын төмендету және өндірістік шығындардың өсуі сияқты ТМК секторындағы проблемаларды реттеуге бағытталған. Салық аударымдарынан басқа ТМК кәсіпорындары да әлеуметтік жүктемені көтереді (ТМК компаниялары жер қойнауын пайдалануға арналған келісімшарттарда/лицензияларда көзделген көлемнен тыс әлеуметтік инвестицияларды көздейтін облыстық әкімдіктермен меморандумдар жасайды).</w:t>
      </w:r>
    </w:p>
    <w:p w14:paraId="230F2D21" w14:textId="5270CA7F" w:rsidR="00070A20" w:rsidRPr="00070A20" w:rsidRDefault="00070A20" w:rsidP="00070A20">
      <w:pPr>
        <w:ind w:firstLine="720"/>
        <w:rPr>
          <w:rFonts w:ascii="Arial" w:hAnsi="Arial" w:cs="Arial"/>
          <w:sz w:val="24"/>
          <w:szCs w:val="24"/>
          <w:lang w:val="kk-KZ"/>
        </w:rPr>
      </w:pPr>
      <w:r w:rsidRPr="00070A20">
        <w:rPr>
          <w:rFonts w:ascii="Arial" w:hAnsi="Arial" w:cs="Arial"/>
          <w:sz w:val="24"/>
          <w:szCs w:val="24"/>
          <w:lang w:val="kk-KZ"/>
        </w:rPr>
        <w:t xml:space="preserve">ТМК компанияларының алдында мемлекет экологиялық әсерді төмендету, шикізатты қайта өңдеу тереңдігін ұлғайту, жаңа инвестициялық жобаларды іске асыру, елішілік құндылықты дамыту, металдарды ішкі нарыққа дисконтпен сату және т.б. бойынша кешенді міндеттер қойғанын ескере отырып, саланың тұрақты жұмыс істеуін қамтамасыз ету үшін салық салудың тұрақтылығын сақтау, сондай-ақ </w:t>
      </w:r>
      <w:r w:rsidR="00FC36DD" w:rsidRPr="00070A20">
        <w:rPr>
          <w:rFonts w:ascii="Arial" w:hAnsi="Arial" w:cs="Arial"/>
          <w:sz w:val="24"/>
          <w:szCs w:val="24"/>
          <w:lang w:val="kk-KZ"/>
        </w:rPr>
        <w:t xml:space="preserve">рентабельділігі төмен өндірістерді қолдау </w:t>
      </w:r>
      <w:r w:rsidR="00FC36DD">
        <w:rPr>
          <w:rFonts w:ascii="Arial" w:hAnsi="Arial" w:cs="Arial"/>
          <w:sz w:val="24"/>
          <w:szCs w:val="24"/>
          <w:lang w:val="kk-KZ"/>
        </w:rPr>
        <w:t xml:space="preserve">және </w:t>
      </w:r>
      <w:r w:rsidRPr="00070A20">
        <w:rPr>
          <w:rFonts w:ascii="Arial" w:hAnsi="Arial" w:cs="Arial"/>
          <w:sz w:val="24"/>
          <w:szCs w:val="24"/>
          <w:lang w:val="kk-KZ"/>
        </w:rPr>
        <w:t>инвестициялық белсенділікті ынталандыруға бағытталған нүктелік шараларды көздеу қажет.</w:t>
      </w:r>
    </w:p>
    <w:p w14:paraId="5DC47D35" w14:textId="478C11DC" w:rsidR="005B7F57" w:rsidRPr="00FC36DD" w:rsidRDefault="00070A20" w:rsidP="00FC36DD">
      <w:pPr>
        <w:ind w:firstLine="720"/>
        <w:rPr>
          <w:rFonts w:ascii="Arial" w:hAnsi="Arial" w:cs="Arial"/>
          <w:sz w:val="24"/>
          <w:szCs w:val="24"/>
          <w:lang w:val="kk-KZ"/>
        </w:rPr>
      </w:pPr>
      <w:r w:rsidRPr="00070A20">
        <w:rPr>
          <w:rFonts w:ascii="Arial" w:hAnsi="Arial" w:cs="Arial"/>
          <w:sz w:val="24"/>
          <w:szCs w:val="24"/>
          <w:lang w:val="kk-KZ"/>
        </w:rPr>
        <w:t>Жоғарыда айтылғандарға байланысты Салық кодексінің жобасында ұсынылған нормаларды қолдаймыз.</w:t>
      </w:r>
    </w:p>
    <w:sectPr w:rsidR="005B7F57" w:rsidRPr="00FC36DD" w:rsidSect="00B47A7B">
      <w:pgSz w:w="11906" w:h="16838"/>
      <w:pgMar w:top="1418" w:right="991"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9702" w14:textId="77777777" w:rsidR="00CA025E" w:rsidRDefault="00CA025E" w:rsidP="00167435">
      <w:r>
        <w:separator/>
      </w:r>
    </w:p>
  </w:endnote>
  <w:endnote w:type="continuationSeparator" w:id="0">
    <w:p w14:paraId="1EFA14DC" w14:textId="77777777" w:rsidR="00CA025E" w:rsidRDefault="00CA025E" w:rsidP="001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95D2" w14:textId="77777777" w:rsidR="00CA025E" w:rsidRDefault="00CA025E" w:rsidP="00167435">
      <w:r>
        <w:separator/>
      </w:r>
    </w:p>
  </w:footnote>
  <w:footnote w:type="continuationSeparator" w:id="0">
    <w:p w14:paraId="2DD19A8E" w14:textId="77777777" w:rsidR="00CA025E" w:rsidRDefault="00CA025E" w:rsidP="0016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90D40"/>
    <w:multiLevelType w:val="hybridMultilevel"/>
    <w:tmpl w:val="C0389B64"/>
    <w:lvl w:ilvl="0" w:tplc="7638CBB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56014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6B"/>
    <w:rsid w:val="00021FDE"/>
    <w:rsid w:val="000445F7"/>
    <w:rsid w:val="00046071"/>
    <w:rsid w:val="00046A66"/>
    <w:rsid w:val="00070A20"/>
    <w:rsid w:val="000736F1"/>
    <w:rsid w:val="0008318C"/>
    <w:rsid w:val="000A2F56"/>
    <w:rsid w:val="000D2C85"/>
    <w:rsid w:val="000E04C8"/>
    <w:rsid w:val="000E23BC"/>
    <w:rsid w:val="000F62F3"/>
    <w:rsid w:val="001174AB"/>
    <w:rsid w:val="0012309C"/>
    <w:rsid w:val="001342EF"/>
    <w:rsid w:val="00140285"/>
    <w:rsid w:val="00144323"/>
    <w:rsid w:val="001563B7"/>
    <w:rsid w:val="0015765E"/>
    <w:rsid w:val="00167435"/>
    <w:rsid w:val="00187DF6"/>
    <w:rsid w:val="00190879"/>
    <w:rsid w:val="00194DD5"/>
    <w:rsid w:val="001B16AB"/>
    <w:rsid w:val="001C5514"/>
    <w:rsid w:val="001D5F16"/>
    <w:rsid w:val="001F5965"/>
    <w:rsid w:val="00212D18"/>
    <w:rsid w:val="00226F56"/>
    <w:rsid w:val="00230636"/>
    <w:rsid w:val="00266A81"/>
    <w:rsid w:val="002671E2"/>
    <w:rsid w:val="00285258"/>
    <w:rsid w:val="00296CDF"/>
    <w:rsid w:val="002A03D7"/>
    <w:rsid w:val="00313F52"/>
    <w:rsid w:val="00316061"/>
    <w:rsid w:val="00316A60"/>
    <w:rsid w:val="00333A0A"/>
    <w:rsid w:val="00337EAD"/>
    <w:rsid w:val="0035257B"/>
    <w:rsid w:val="00357C76"/>
    <w:rsid w:val="003759EF"/>
    <w:rsid w:val="00383882"/>
    <w:rsid w:val="003C5CB6"/>
    <w:rsid w:val="003E0DD0"/>
    <w:rsid w:val="003F69E9"/>
    <w:rsid w:val="004024A4"/>
    <w:rsid w:val="00464D65"/>
    <w:rsid w:val="00470CCF"/>
    <w:rsid w:val="004C6E10"/>
    <w:rsid w:val="0051543C"/>
    <w:rsid w:val="00540BD6"/>
    <w:rsid w:val="00566413"/>
    <w:rsid w:val="005837DC"/>
    <w:rsid w:val="005906FA"/>
    <w:rsid w:val="005B5BD0"/>
    <w:rsid w:val="005B7F57"/>
    <w:rsid w:val="005C3216"/>
    <w:rsid w:val="005C4D5E"/>
    <w:rsid w:val="005C4DC6"/>
    <w:rsid w:val="006235AD"/>
    <w:rsid w:val="00663989"/>
    <w:rsid w:val="00680693"/>
    <w:rsid w:val="00740B8C"/>
    <w:rsid w:val="00742B7C"/>
    <w:rsid w:val="007560DB"/>
    <w:rsid w:val="00757610"/>
    <w:rsid w:val="0076275F"/>
    <w:rsid w:val="00765C3F"/>
    <w:rsid w:val="007908FC"/>
    <w:rsid w:val="00796307"/>
    <w:rsid w:val="007B7009"/>
    <w:rsid w:val="007E575C"/>
    <w:rsid w:val="00800F85"/>
    <w:rsid w:val="0080187D"/>
    <w:rsid w:val="008257A2"/>
    <w:rsid w:val="00857270"/>
    <w:rsid w:val="00864D26"/>
    <w:rsid w:val="00867879"/>
    <w:rsid w:val="008C05FF"/>
    <w:rsid w:val="008C4591"/>
    <w:rsid w:val="008D0AA4"/>
    <w:rsid w:val="00900D41"/>
    <w:rsid w:val="00901B1C"/>
    <w:rsid w:val="00936F1A"/>
    <w:rsid w:val="0095044E"/>
    <w:rsid w:val="009760C1"/>
    <w:rsid w:val="009837A0"/>
    <w:rsid w:val="009963BE"/>
    <w:rsid w:val="009C372E"/>
    <w:rsid w:val="00A107D3"/>
    <w:rsid w:val="00A30821"/>
    <w:rsid w:val="00A45339"/>
    <w:rsid w:val="00A47D25"/>
    <w:rsid w:val="00A51961"/>
    <w:rsid w:val="00A73C6F"/>
    <w:rsid w:val="00A825AD"/>
    <w:rsid w:val="00A8495C"/>
    <w:rsid w:val="00AB7236"/>
    <w:rsid w:val="00AC55BE"/>
    <w:rsid w:val="00AC5D6B"/>
    <w:rsid w:val="00AC6B05"/>
    <w:rsid w:val="00B04160"/>
    <w:rsid w:val="00B16455"/>
    <w:rsid w:val="00B23FB1"/>
    <w:rsid w:val="00B37D67"/>
    <w:rsid w:val="00B47A7B"/>
    <w:rsid w:val="00B550C9"/>
    <w:rsid w:val="00B64405"/>
    <w:rsid w:val="00B7507B"/>
    <w:rsid w:val="00B80AC4"/>
    <w:rsid w:val="00B82508"/>
    <w:rsid w:val="00BB2545"/>
    <w:rsid w:val="00BB4A22"/>
    <w:rsid w:val="00BD019C"/>
    <w:rsid w:val="00BD3AE8"/>
    <w:rsid w:val="00BD4501"/>
    <w:rsid w:val="00BF40EA"/>
    <w:rsid w:val="00BF4660"/>
    <w:rsid w:val="00C26129"/>
    <w:rsid w:val="00C340A4"/>
    <w:rsid w:val="00C37E8F"/>
    <w:rsid w:val="00C60E5B"/>
    <w:rsid w:val="00C60F20"/>
    <w:rsid w:val="00C62B54"/>
    <w:rsid w:val="00C7014C"/>
    <w:rsid w:val="00CA025E"/>
    <w:rsid w:val="00CA3710"/>
    <w:rsid w:val="00CA75BD"/>
    <w:rsid w:val="00CB76B4"/>
    <w:rsid w:val="00CD5637"/>
    <w:rsid w:val="00CF45D2"/>
    <w:rsid w:val="00CF7F47"/>
    <w:rsid w:val="00D0024C"/>
    <w:rsid w:val="00D05F3E"/>
    <w:rsid w:val="00D23528"/>
    <w:rsid w:val="00D242AB"/>
    <w:rsid w:val="00D61DBB"/>
    <w:rsid w:val="00D70C34"/>
    <w:rsid w:val="00D7419C"/>
    <w:rsid w:val="00D87F38"/>
    <w:rsid w:val="00D920EA"/>
    <w:rsid w:val="00D972D3"/>
    <w:rsid w:val="00DA5F43"/>
    <w:rsid w:val="00DC368D"/>
    <w:rsid w:val="00DD4E34"/>
    <w:rsid w:val="00DE28FF"/>
    <w:rsid w:val="00DF1E53"/>
    <w:rsid w:val="00DF6618"/>
    <w:rsid w:val="00E07340"/>
    <w:rsid w:val="00E1029A"/>
    <w:rsid w:val="00E12686"/>
    <w:rsid w:val="00E222E8"/>
    <w:rsid w:val="00E42580"/>
    <w:rsid w:val="00EC5014"/>
    <w:rsid w:val="00ED680C"/>
    <w:rsid w:val="00ED73D5"/>
    <w:rsid w:val="00ED7768"/>
    <w:rsid w:val="00F21F8B"/>
    <w:rsid w:val="00F51CDC"/>
    <w:rsid w:val="00F652C1"/>
    <w:rsid w:val="00F93493"/>
    <w:rsid w:val="00FA1FF2"/>
    <w:rsid w:val="00FC36DD"/>
    <w:rsid w:val="00FC4DF9"/>
    <w:rsid w:val="00FD6C72"/>
    <w:rsid w:val="00FD798C"/>
    <w:rsid w:val="00FE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0AD"/>
  <w15:chartTrackingRefBased/>
  <w15:docId w15:val="{AA1D7C85-5093-441C-99A2-D37D1073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5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5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5D6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AC5D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AC5D6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AC5D6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C5D6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C5D6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C5D6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D6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5D6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5D6B"/>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AC5D6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AC5D6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AC5D6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AC5D6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AC5D6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AC5D6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C5D6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5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D6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C5D6B"/>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AC5D6B"/>
    <w:pPr>
      <w:spacing w:before="160" w:after="160"/>
      <w:jc w:val="center"/>
    </w:pPr>
    <w:rPr>
      <w:i/>
      <w:iCs/>
      <w:color w:val="404040" w:themeColor="text1" w:themeTint="BF"/>
    </w:rPr>
  </w:style>
  <w:style w:type="character" w:customStyle="1" w:styleId="22">
    <w:name w:val="Цитата 2 Знак"/>
    <w:basedOn w:val="a0"/>
    <w:link w:val="21"/>
    <w:uiPriority w:val="29"/>
    <w:rsid w:val="00AC5D6B"/>
    <w:rPr>
      <w:i/>
      <w:iCs/>
      <w:color w:val="404040" w:themeColor="text1" w:themeTint="BF"/>
    </w:rPr>
  </w:style>
  <w:style w:type="paragraph" w:styleId="a7">
    <w:name w:val="List Paragraph"/>
    <w:basedOn w:val="a"/>
    <w:uiPriority w:val="34"/>
    <w:qFormat/>
    <w:rsid w:val="00AC5D6B"/>
    <w:pPr>
      <w:ind w:left="720"/>
      <w:contextualSpacing/>
    </w:pPr>
  </w:style>
  <w:style w:type="character" w:styleId="a8">
    <w:name w:val="Intense Emphasis"/>
    <w:basedOn w:val="a0"/>
    <w:uiPriority w:val="21"/>
    <w:qFormat/>
    <w:rsid w:val="00AC5D6B"/>
    <w:rPr>
      <w:i/>
      <w:iCs/>
      <w:color w:val="0F4761" w:themeColor="accent1" w:themeShade="BF"/>
    </w:rPr>
  </w:style>
  <w:style w:type="paragraph" w:styleId="a9">
    <w:name w:val="Intense Quote"/>
    <w:basedOn w:val="a"/>
    <w:next w:val="a"/>
    <w:link w:val="aa"/>
    <w:uiPriority w:val="30"/>
    <w:qFormat/>
    <w:rsid w:val="00AC5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5D6B"/>
    <w:rPr>
      <w:i/>
      <w:iCs/>
      <w:color w:val="0F4761" w:themeColor="accent1" w:themeShade="BF"/>
    </w:rPr>
  </w:style>
  <w:style w:type="character" w:styleId="ab">
    <w:name w:val="Intense Reference"/>
    <w:basedOn w:val="a0"/>
    <w:uiPriority w:val="32"/>
    <w:qFormat/>
    <w:rsid w:val="00AC5D6B"/>
    <w:rPr>
      <w:b/>
      <w:bCs/>
      <w:smallCaps/>
      <w:color w:val="0F4761" w:themeColor="accent1" w:themeShade="BF"/>
      <w:spacing w:val="5"/>
    </w:rPr>
  </w:style>
  <w:style w:type="paragraph" w:styleId="ac">
    <w:name w:val="footnote text"/>
    <w:basedOn w:val="a"/>
    <w:link w:val="ad"/>
    <w:uiPriority w:val="99"/>
    <w:semiHidden/>
    <w:unhideWhenUsed/>
    <w:rsid w:val="00167435"/>
    <w:pPr>
      <w:jc w:val="left"/>
    </w:pPr>
    <w:rPr>
      <w:rFonts w:asciiTheme="minorHAnsi" w:hAnsiTheme="minorHAnsi"/>
      <w:sz w:val="20"/>
      <w:szCs w:val="20"/>
    </w:rPr>
  </w:style>
  <w:style w:type="character" w:customStyle="1" w:styleId="ad">
    <w:name w:val="Текст сноски Знак"/>
    <w:basedOn w:val="a0"/>
    <w:link w:val="ac"/>
    <w:uiPriority w:val="99"/>
    <w:semiHidden/>
    <w:rsid w:val="00167435"/>
    <w:rPr>
      <w:rFonts w:asciiTheme="minorHAnsi" w:hAnsiTheme="minorHAnsi"/>
      <w:sz w:val="20"/>
      <w:szCs w:val="20"/>
    </w:rPr>
  </w:style>
  <w:style w:type="character" w:styleId="ae">
    <w:name w:val="footnote reference"/>
    <w:basedOn w:val="a0"/>
    <w:uiPriority w:val="99"/>
    <w:semiHidden/>
    <w:unhideWhenUsed/>
    <w:rsid w:val="0016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54800">
      <w:bodyDiv w:val="1"/>
      <w:marLeft w:val="0"/>
      <w:marRight w:val="0"/>
      <w:marTop w:val="0"/>
      <w:marBottom w:val="0"/>
      <w:divBdr>
        <w:top w:val="none" w:sz="0" w:space="0" w:color="auto"/>
        <w:left w:val="none" w:sz="0" w:space="0" w:color="auto"/>
        <w:bottom w:val="none" w:sz="0" w:space="0" w:color="auto"/>
        <w:right w:val="none" w:sz="0" w:space="0" w:color="auto"/>
      </w:divBdr>
    </w:div>
    <w:div w:id="9319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Печать2 Цветная</cp:lastModifiedBy>
  <cp:revision>4</cp:revision>
  <dcterms:created xsi:type="dcterms:W3CDTF">2024-11-25T02:34:00Z</dcterms:created>
  <dcterms:modified xsi:type="dcterms:W3CDTF">2024-11-25T04:25:00Z</dcterms:modified>
</cp:coreProperties>
</file>